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>
      <w:pPr>
        <w:bidi w:val="0"/>
        <w:jc w:val="left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</w:t>
      </w:r>
    </w:p>
    <w:tbl>
      <w:tblPr>
        <w:tblStyle w:val="2"/>
        <w:tblW w:w="5235" w:type="pct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04"/>
        <w:gridCol w:w="3470"/>
        <w:gridCol w:w="900"/>
        <w:gridCol w:w="961"/>
        <w:gridCol w:w="1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val="en-US" w:eastAsia="zh-CN"/>
              </w:rPr>
              <w:t>评分细则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参与竞谈单位：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 值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 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车辆配置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分）</w:t>
            </w: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车辆年限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通过《车型需求清单》中填报的车辆年限情况进行评分，车辆年限在2年以内得15-20（含）分、4年以内得10-15（含）分、6年以内得5-10（含）分、8年以内得0-5（含）分、8年以上不得分。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6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综合评分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通过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《车型需求清单》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中填报的车辆品牌、车型、配置等内容进行综合评分。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运行方案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（60分）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人员配置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管理团队现场负责人应具备项目管理的成熟经验，有相关工作经验两年以上者得5-10（含）分，不足两年者得0-5（含）分；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每日在岗驾驶员配置基数为4人，满足4人得5分、不足4人得0分、超出4人的每超出1人加1分，满分10分。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方案比较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通过对运行服务方案、运行时长、覆盖面积（如是否覆盖东侧货运站坪）各方面进行评分。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运行间隔</w:t>
            </w:r>
          </w:p>
        </w:tc>
        <w:tc>
          <w:tcPr>
            <w:tcW w:w="1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对方案中对发车频次进行评分，服务时段内循环运行车辆基数为2台，满足2台得15分、不足2台得0分、超出2台的每超出1台加1分，满分20分。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964" w:firstLineChars="400"/>
              <w:jc w:val="both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评分人：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总得分：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NDAwZDgxMmJlNTE2MzA1OWI5YTE0ODJlOWVlNjAifQ=="/>
  </w:docVars>
  <w:rsids>
    <w:rsidRoot w:val="6AA02608"/>
    <w:rsid w:val="6AA0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2024-07-02T05:42:00Z</dcterms:created>
  <dc:creator>蔡雨锡</dc:creator>
  <cp:lastModifiedBy>蔡雨锡</cp:lastModifiedBy>
  <dcterms:modified xsi:type="dcterms:W3CDTF">2024-07-02T05:42:26Z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3EB2A1373B01402E805EA15366E29D0F_11</vt:lpwstr>
  </property>
</Properties>
</file>