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544"/>
        <w:gridCol w:w="947"/>
        <w:gridCol w:w="1437"/>
        <w:gridCol w:w="718"/>
        <w:gridCol w:w="432"/>
        <w:gridCol w:w="432"/>
        <w:gridCol w:w="834"/>
        <w:gridCol w:w="834"/>
        <w:gridCol w:w="834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2号航站楼氛围营造装饰清单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人行道护栏板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底板＋贴膜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1.49m*0.68m</w:t>
            </w:r>
          </w:p>
        </w:tc>
        <w:tc>
          <w:tcPr>
            <w:tcW w:w="38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采用PVC板承载基质（厚度＞5mm），附膜采用高精写真材质或同等品质品牌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83张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T2问询柜台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9.2m*1.12m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T2值机岛柜台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15m*1.18m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T2值机岛岛头（上方）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20m*1.5m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T2出港大厅立地标识灯箱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1.4m*0.94m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T2行李提取厅行李转盘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46.6m*0.37m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接站厅机场客车、巴士售票柜台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9m*0.76m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2、3连廊幕墙玻璃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200张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每间隔一块玻璃粘贴一张，居中张贴，画面清晰，色彩丰富，粘贴后无气泡，尽量不采用全数字窗花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2指廊、3指廊、连廊隔断玻璃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T2到达夹层幕墙玻璃、接站大厅隔断玻璃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不低于1m*1m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2、3指廊登机口航显屏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立体挂饰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高度不低于40cm，直径不低于30cm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52个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立体错层设计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T2行李提取厅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4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</w:p>
        </w:tc>
      </w:tr>
    </w:tbl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84"/>
        <w:gridCol w:w="726"/>
        <w:gridCol w:w="1250"/>
        <w:gridCol w:w="627"/>
        <w:gridCol w:w="1143"/>
        <w:gridCol w:w="379"/>
        <w:gridCol w:w="606"/>
        <w:gridCol w:w="715"/>
        <w:gridCol w:w="1120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T3三层出港大厅售票柜台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色彩丰富、鲜明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4.5m*0.5m(4张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T3三层出港大厅问询柜台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1.38m*0.5m(2张)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T3三层出港大厅立地标识灯箱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1.6m*0.9m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T3三层出港大厅打包柜台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1.8m*0.52m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2m*0.52m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3.2m*0.52m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8（4张×2组）</w:t>
            </w: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共两个打包柜台，每个柜台4张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T3四层安检区风塔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5.33*0.5m           1.88*0.5m    1.73*0.5m</w:t>
            </w:r>
          </w:p>
        </w:tc>
        <w:tc>
          <w:tcPr>
            <w:tcW w:w="9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12（3张×4组）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正面1张，侧面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悬挂灯箱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PVC+车床雕刻+颜色喷漆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每个灯箱挂2个，其中安检待检区入口处悬挂式灯箱每个挂4个，悬挂高度、间距统一，距离灯箱底部20cm-30cm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每根立柱均匀悬挂8个，悬挂高度为挂饰底部与立柱金属板齐平，高度、间距统一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T3隔离区内连廊（头等舱休息室上方）隔断玻璃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每间隔一块玻璃粘贴一张，居中张贴，画面清晰，色彩丰富，粘贴后无气泡，尽量不采用全数字窗花</w:t>
            </w:r>
            <w:bookmarkStart w:id="0" w:name="_GoBack"/>
            <w:bookmarkEnd w:id="0"/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4指廊2层远机位幕墙玻璃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4指廊3层登机口隔断玻璃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隔离区内四层T2、T3连接处幕墙玻璃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隔离区内三层到达通道中转联程厅隔断玻璃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T3行李提取厅隔断玻璃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T3行李提取厅出口处玻璃门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36m*0.35m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35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悬挂高度距离顶部约50cm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安装间距及高度统一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671" w:tblpY="89"/>
        <w:tblOverlap w:val="never"/>
        <w:tblW w:w="53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00"/>
        <w:gridCol w:w="1100"/>
        <w:gridCol w:w="1393"/>
        <w:gridCol w:w="903"/>
        <w:gridCol w:w="512"/>
        <w:gridCol w:w="512"/>
        <w:gridCol w:w="993"/>
        <w:gridCol w:w="993"/>
        <w:gridCol w:w="1239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T3 418登机口旁玻璃隔断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每间隔2块玻璃粘贴一张，居中张贴，画面清晰，色彩丰富，粘贴后无气泡，尽量不采用全数字窗花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T3国际登机口前值机柜台（418、425、426、417R、416R）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T3国际安检通道后方标识灯箱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40个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悬挂高度距离顶部约50cm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安装间距及高度统一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T3国际1层申报通道标识灯箱下方</w:t>
            </w: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T3国际行李提取厅顶部</w:t>
            </w: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27.1m*0.35m（尺寸需要现场测量）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4张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54.1m*0.35m（22-24号行李转盘3张）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71.6m*0.35m（25号行李转盘1张）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</w:p>
        </w:tc>
      </w:tr>
    </w:tbl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154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附件2：评分细则</w:t>
      </w:r>
    </w:p>
    <w:tbl>
      <w:tblPr>
        <w:tblStyle w:val="3"/>
        <w:tblW w:w="13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50"/>
        <w:gridCol w:w="750"/>
        <w:gridCol w:w="6690"/>
        <w:gridCol w:w="14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 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方案设计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设计主题：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以“五一”劳动节为设计背景，以“多彩五一 魅力空港”为主题开展航站区氛围营造方案设计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50分</w:t>
            </w: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氛围展示：</w:t>
            </w:r>
          </w:p>
          <w:p>
            <w:pPr>
              <w:widowControl w:val="0"/>
              <w:ind w:firstLine="440" w:firstLineChars="20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图形设计关系统一，色彩和谐，定位准确，整体联系性强，充分体现节日氛围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。（1-20分）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 w:val="0"/>
              <w:ind w:firstLine="42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创意元素：</w:t>
            </w:r>
          </w:p>
          <w:p>
            <w:pPr>
              <w:widowControl w:val="0"/>
              <w:ind w:firstLine="42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整体设计主题突出，立意新颖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、文化融合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、独特。（10-20分）</w:t>
            </w:r>
          </w:p>
          <w:p>
            <w:pPr>
              <w:widowControl w:val="0"/>
              <w:ind w:firstLine="420" w:firstLine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整体设计主题突出，传统设计理念、无创新突破（1-10分）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成果展示：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两日内按要求完成方案效果图（10分，每增加一日减2分 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71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售后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6690" w:type="dxa"/>
            <w:vAlign w:val="top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维修维护：</w:t>
            </w:r>
          </w:p>
          <w:p>
            <w:pPr>
              <w:widowControl w:val="0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2小时内响应，并在24小时内完成维修维护工作（10分，维修维护工作每增加24小时减2分）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071" w:type="dxa"/>
            <w:gridSpan w:val="2"/>
            <w:vMerge w:val="continue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 w:val="0"/>
              <w:ind w:firstLine="42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0" w:type="dxa"/>
            <w:vAlign w:val="top"/>
          </w:tcPr>
          <w:p>
            <w:pPr>
              <w:widowControl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响应情况：</w:t>
            </w:r>
          </w:p>
          <w:p>
            <w:pPr>
              <w:widowControl w:val="0"/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提供超出招商要求的服务（10-20分）</w:t>
            </w:r>
          </w:p>
          <w:p>
            <w:pPr>
              <w:widowControl w:val="0"/>
              <w:ind w:firstLine="420" w:firstLineChars="0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响应招商要求的服务（10分）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7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往期业绩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6690" w:type="dxa"/>
            <w:vAlign w:val="top"/>
          </w:tcPr>
          <w:p>
            <w:pPr>
              <w:widowControl w:val="0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2021年至今参与机场或大型商超氛围营造工作设计、施工等相关工作（每参与一次得5分，未参与不得分，该项得分不超过20分）</w:t>
            </w:r>
          </w:p>
        </w:tc>
        <w:tc>
          <w:tcPr>
            <w:tcW w:w="142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936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评分人：                                      总得分：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6838" w:h="11906" w:orient="landscape"/>
      <w:pgMar w:top="1587" w:right="2154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e7424c6-3fc9-4a65-98f5-2161434c50b2"/>
  </w:docVars>
  <w:rsids>
    <w:rsidRoot w:val="3D734451"/>
    <w:rsid w:val="24865F22"/>
    <w:rsid w:val="3D7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2024-04-16T02:43:00Z</dcterms:created>
  <dc:creator>颜雨青</dc:creator>
  <cp:lastModifiedBy>康茜仪</cp:lastModifiedBy>
  <dcterms:modified xsi:type="dcterms:W3CDTF">2024-04-16T06:15:36Z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E33003E16CFE46C3B2BBDD27A52454C7_13</vt:lpwstr>
  </property>
</Properties>
</file>